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54D7B" w:rsidRPr="00D550ED" w:rsidRDefault="006A4C63" w:rsidP="006A4C63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KZ.271.1.2.2026</w:t>
      </w:r>
      <w:r w:rsidR="00BD61BB">
        <w:rPr>
          <w:rFonts w:asciiTheme="minorHAnsi" w:hAnsiTheme="minorHAnsi" w:cstheme="minorHAnsi"/>
        </w:rPr>
        <w:t xml:space="preserve">     </w:t>
      </w: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      </w:t>
      </w:r>
      <w:r w:rsidR="00E477FA">
        <w:rPr>
          <w:rFonts w:asciiTheme="minorHAnsi" w:hAnsiTheme="minorHAnsi" w:cstheme="minorHAnsi"/>
        </w:rPr>
        <w:t xml:space="preserve">Załącznik nr </w:t>
      </w:r>
      <w:r w:rsidR="00BD61BB">
        <w:rPr>
          <w:rFonts w:asciiTheme="minorHAnsi" w:hAnsiTheme="minorHAnsi" w:cstheme="minorHAnsi"/>
        </w:rPr>
        <w:t xml:space="preserve">4 </w:t>
      </w:r>
      <w:r w:rsidR="00E477FA">
        <w:rPr>
          <w:rFonts w:asciiTheme="minorHAnsi" w:hAnsiTheme="minorHAnsi" w:cstheme="minorHAnsi"/>
        </w:rPr>
        <w:t xml:space="preserve">do </w:t>
      </w:r>
      <w:r w:rsidR="00BD61BB">
        <w:rPr>
          <w:rFonts w:asciiTheme="minorHAnsi" w:hAnsiTheme="minorHAnsi" w:cstheme="minorHAnsi"/>
        </w:rPr>
        <w:t>SWZ</w:t>
      </w:r>
    </w:p>
    <w:p w:rsidR="006A4C63" w:rsidRDefault="006A4C63" w:rsidP="006A4C63">
      <w:pPr>
        <w:rPr>
          <w:rFonts w:asciiTheme="minorHAnsi" w:hAnsiTheme="minorHAnsi" w:cstheme="minorHAnsi"/>
          <w:b/>
        </w:rPr>
      </w:pPr>
    </w:p>
    <w:p w:rsidR="006A4C63" w:rsidRDefault="006A4C63" w:rsidP="006A4C63">
      <w:pPr>
        <w:contextualSpacing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Opis przedmiotu zamówienia</w:t>
      </w:r>
    </w:p>
    <w:p w:rsidR="006A4C63" w:rsidRDefault="006A4C63" w:rsidP="006A4C63">
      <w:pPr>
        <w:contextualSpacing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Dostawa agregatu elektrycznego trójfazowego w ramach projektu pn. „Zapewnienie cyberbezpieczeństwa w Urzędzie Gminy Walim” </w:t>
      </w:r>
    </w:p>
    <w:p w:rsidR="006A4C63" w:rsidRDefault="006A4C63" w:rsidP="006A4C63">
      <w:pPr>
        <w:contextualSpacing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Fundusze Europejskie na Rozwój Cyfrowy 2021-2027 (FERC), Priorytet II: Zaawansowane usługi cyfrowe, Działanie 2.2. – Wzmocnienie krajowego systemu cyberbezpieczeństwa, konkurs grantowy w ramach Projektu grantowego „Cyberbezpieczny Samorząd”</w:t>
      </w:r>
    </w:p>
    <w:p w:rsidR="006A4C63" w:rsidRDefault="006A4C63" w:rsidP="006A4C63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Wymagania ogólne:</w:t>
      </w:r>
    </w:p>
    <w:p w:rsidR="006A4C63" w:rsidRDefault="006A4C63" w:rsidP="006A4C63">
      <w:pPr>
        <w:pStyle w:val="Bezodstpw"/>
        <w:numPr>
          <w:ilvl w:val="0"/>
          <w:numId w:val="37"/>
        </w:numPr>
        <w:ind w:left="142" w:firstLine="0"/>
        <w:jc w:val="both"/>
      </w:pPr>
      <w:r>
        <w:t>Urządzenie muszą być fabrycznie nowe oraz pochodzić z autoryzowanego kanału sprzedaży producenta. Nie dopuszcza się urządzeń: odnawianych, demonstracyjnych lub powystawowych.</w:t>
      </w:r>
    </w:p>
    <w:p w:rsidR="006A4C63" w:rsidRDefault="006A4C63" w:rsidP="006A4C63">
      <w:pPr>
        <w:pStyle w:val="Bezodstpw"/>
        <w:numPr>
          <w:ilvl w:val="0"/>
          <w:numId w:val="37"/>
        </w:numPr>
        <w:ind w:left="142" w:firstLine="0"/>
        <w:jc w:val="both"/>
      </w:pPr>
      <w:r>
        <w:t>Nie dopuszcza się urządzeń posiadających wadę prawną w zakresie pochodzenia sprzętu, wsparcia technicznego i gwarancji producenta.</w:t>
      </w:r>
    </w:p>
    <w:p w:rsidR="006A4C63" w:rsidRDefault="006A4C63" w:rsidP="006A4C63">
      <w:pPr>
        <w:pStyle w:val="Bezodstpw"/>
        <w:numPr>
          <w:ilvl w:val="0"/>
          <w:numId w:val="37"/>
        </w:numPr>
        <w:ind w:left="142" w:firstLine="0"/>
        <w:jc w:val="both"/>
      </w:pPr>
      <w:r>
        <w:t xml:space="preserve">Elementy, z których zbudowane są urządzenia muszą być produktami producenta urządzeń lub być przez niego certyfikowane oraz całe muszą być objęte gwarancją producenta. </w:t>
      </w:r>
    </w:p>
    <w:p w:rsidR="006A4C63" w:rsidRDefault="006A4C63" w:rsidP="006A4C63">
      <w:pPr>
        <w:pStyle w:val="Bezodstpw"/>
        <w:numPr>
          <w:ilvl w:val="0"/>
          <w:numId w:val="37"/>
        </w:numPr>
        <w:ind w:left="142" w:firstLine="0"/>
        <w:jc w:val="both"/>
      </w:pPr>
      <w:r>
        <w:t>W okresie gwarancji Zamawiający ma prawo do otrzymywania poprawek oraz aktualizacji wersji oprogramowania dostarczonego wraz z urządzeniem oraz oprogramowania wewnętrznego urządzenia.</w:t>
      </w:r>
    </w:p>
    <w:p w:rsidR="006A4C63" w:rsidRDefault="006A4C63" w:rsidP="006A4C63">
      <w:pPr>
        <w:pStyle w:val="Bezodstpw"/>
        <w:numPr>
          <w:ilvl w:val="0"/>
          <w:numId w:val="37"/>
        </w:numPr>
        <w:ind w:left="142" w:firstLine="0"/>
        <w:jc w:val="both"/>
      </w:pPr>
      <w:r>
        <w:t>Urządzenia i ich komponenty muszą być oznakowane w taki sposób, aby możliwa była identyfikacja zarówno produktu jak i producenta.</w:t>
      </w:r>
    </w:p>
    <w:p w:rsidR="006A4C63" w:rsidRDefault="006A4C63" w:rsidP="006A4C63">
      <w:pPr>
        <w:pStyle w:val="Bezodstpw"/>
        <w:numPr>
          <w:ilvl w:val="0"/>
          <w:numId w:val="37"/>
        </w:numPr>
        <w:ind w:left="142" w:firstLine="0"/>
        <w:jc w:val="both"/>
      </w:pPr>
      <w:r>
        <w:t>Urządzenia muszą być dostarczone Zamawiającemu w oryginalnych opakowaniach producenta.</w:t>
      </w:r>
    </w:p>
    <w:p w:rsidR="006A4C63" w:rsidRDefault="006A4C63" w:rsidP="006A4C63">
      <w:pPr>
        <w:pStyle w:val="Bezodstpw"/>
        <w:numPr>
          <w:ilvl w:val="0"/>
          <w:numId w:val="37"/>
        </w:numPr>
        <w:ind w:left="142" w:firstLine="0"/>
        <w:jc w:val="both"/>
      </w:pPr>
      <w:r>
        <w:t>Do urządzenia musi być dostarczony komplet standardowej dokumentacji w dla użytkownika w języku polskim lub angielskim w formie papierowej lub elektronicznej.</w:t>
      </w:r>
    </w:p>
    <w:p w:rsidR="006A4C63" w:rsidRDefault="006A4C63" w:rsidP="006A4C63">
      <w:pPr>
        <w:pStyle w:val="Bezodstpw"/>
        <w:numPr>
          <w:ilvl w:val="0"/>
          <w:numId w:val="37"/>
        </w:numPr>
        <w:ind w:left="142" w:firstLine="0"/>
        <w:jc w:val="both"/>
      </w:pPr>
      <w:r>
        <w:t>Oferowany agregat musi posiadać konstrukcję mobilną umożliwiającą transport (koła, zaczep, oświetlenie) lub być dostarczony z dedykowaną homologowaną przyczepą do transportu agregatu z montażem agregatu do celów transportowych za pomocą połączeń śrubowych.</w:t>
      </w:r>
    </w:p>
    <w:p w:rsidR="006A4C63" w:rsidRDefault="006A4C63" w:rsidP="006A4C63">
      <w:pPr>
        <w:pStyle w:val="Bezodstpw"/>
        <w:numPr>
          <w:ilvl w:val="0"/>
          <w:numId w:val="37"/>
        </w:numPr>
        <w:ind w:left="142" w:firstLine="0"/>
        <w:jc w:val="both"/>
      </w:pPr>
      <w:r>
        <w:t xml:space="preserve">Gwarancja i serwis na urządzenia musi być świadczony przez firmę autoryzowaną przez producenta lub jego przedstawicielstwo w Polsce w przypadku, gdy Oferent nie posiada takiej autoryzacji. Okres gwarancji – </w:t>
      </w:r>
      <w:r w:rsidR="00C366B0">
        <w:t>48</w:t>
      </w:r>
      <w:r>
        <w:t xml:space="preserve"> miesięcy (praca agregatu jako zasilanie rezerwowe).</w:t>
      </w:r>
    </w:p>
    <w:p w:rsidR="006A4C63" w:rsidRDefault="006A4C63" w:rsidP="006A4C63">
      <w:pPr>
        <w:pStyle w:val="Bezodstpw"/>
        <w:numPr>
          <w:ilvl w:val="0"/>
          <w:numId w:val="37"/>
        </w:numPr>
        <w:ind w:left="142" w:firstLine="0"/>
        <w:jc w:val="both"/>
      </w:pPr>
      <w:r>
        <w:t>Oferowany agregat musi być dostarczony z kompletem gniazd zewnętrznych, z możliwością podłączenia do przygotowanej instalacji budynku,</w:t>
      </w:r>
    </w:p>
    <w:p w:rsidR="006A4C63" w:rsidRDefault="006A4C63" w:rsidP="006A4C63">
      <w:pPr>
        <w:pStyle w:val="Bezodstpw"/>
        <w:numPr>
          <w:ilvl w:val="0"/>
          <w:numId w:val="37"/>
        </w:numPr>
        <w:ind w:left="142" w:firstLine="0"/>
        <w:jc w:val="both"/>
      </w:pPr>
      <w:r>
        <w:t>W ramach dostawy wykonawca wykona pierwsze uruchomienie agregatu oraz szkolenie z obsługi agregatu w siedzibie zamawiającego,</w:t>
      </w:r>
    </w:p>
    <w:p w:rsidR="006A4C63" w:rsidRDefault="006A4C63" w:rsidP="006A4C63">
      <w:pPr>
        <w:pStyle w:val="Bezodstpw"/>
        <w:numPr>
          <w:ilvl w:val="0"/>
          <w:numId w:val="37"/>
        </w:numPr>
        <w:ind w:left="142" w:firstLine="0"/>
        <w:jc w:val="both"/>
      </w:pPr>
      <w:r>
        <w:t>Dostarczony agregat musi spełniać następujące normy i dyrektywy: PN-EN 60204-1, PN-EN ISO 8528-13:2016, ISO 8528-1/2018, PN-ISO 8528-5/2022, Dyrektywa hałasowa 2000/14/WE, Kompatybilność Elektromagnetyczna 2014/30/UE, Dyrektywa niskonapięciowa 2014/35/UE, Dyrektywa maszynowa 2006/42/WE</w:t>
      </w:r>
    </w:p>
    <w:p w:rsidR="006A4C63" w:rsidRPr="006A4C63" w:rsidRDefault="006A4C63" w:rsidP="006A4C63">
      <w:pPr>
        <w:pStyle w:val="Bezodstpw"/>
        <w:jc w:val="both"/>
        <w:rPr>
          <w:b/>
        </w:rPr>
      </w:pPr>
      <w:r>
        <w:rPr>
          <w:b/>
        </w:rPr>
        <w:br/>
        <w:t>Wymagane parametry minimalne agregatu:</w:t>
      </w:r>
    </w:p>
    <w:p w:rsidR="006A4C63" w:rsidRDefault="006A4C63" w:rsidP="006A4C63">
      <w:pPr>
        <w:pStyle w:val="Bezodstpw"/>
        <w:jc w:val="both"/>
      </w:pPr>
      <w:r>
        <w:t>Typ agregatu: Trójfazowy</w:t>
      </w:r>
    </w:p>
    <w:p w:rsidR="006A4C63" w:rsidRDefault="006A4C63" w:rsidP="006A4C63">
      <w:pPr>
        <w:pStyle w:val="Bezodstpw"/>
        <w:jc w:val="both"/>
      </w:pPr>
      <w:r>
        <w:t>Moc znamionowa: 60,0 [kVA] / 48,0 [kW]</w:t>
      </w:r>
    </w:p>
    <w:p w:rsidR="006A4C63" w:rsidRDefault="006A4C63" w:rsidP="006A4C63">
      <w:pPr>
        <w:pStyle w:val="Bezodstpw"/>
        <w:jc w:val="both"/>
      </w:pPr>
      <w:r>
        <w:t>Prąd znamionowy: 86,0A</w:t>
      </w:r>
    </w:p>
    <w:p w:rsidR="006A4C63" w:rsidRDefault="006A4C63" w:rsidP="006A4C63">
      <w:pPr>
        <w:pStyle w:val="Bezodstpw"/>
        <w:jc w:val="both"/>
      </w:pPr>
      <w:r>
        <w:t>Napięcie: 400V</w:t>
      </w:r>
    </w:p>
    <w:p w:rsidR="006A4C63" w:rsidRDefault="006A4C63" w:rsidP="006A4C63">
      <w:pPr>
        <w:pStyle w:val="Bezodstpw"/>
        <w:jc w:val="both"/>
      </w:pPr>
      <w:r>
        <w:t>Obudowa wyciszona</w:t>
      </w:r>
    </w:p>
    <w:p w:rsidR="006A4C63" w:rsidRDefault="006A4C63" w:rsidP="006A4C63">
      <w:pPr>
        <w:pStyle w:val="Bezodstpw"/>
        <w:jc w:val="both"/>
      </w:pPr>
      <w:r>
        <w:t>Tłumik spalin z kompensatorem drgań</w:t>
      </w:r>
    </w:p>
    <w:p w:rsidR="006A4C63" w:rsidRDefault="006A4C63" w:rsidP="006A4C63">
      <w:pPr>
        <w:pStyle w:val="Bezodstpw"/>
        <w:jc w:val="both"/>
      </w:pPr>
      <w:r>
        <w:t>Uchwyty załadunkowe</w:t>
      </w:r>
    </w:p>
    <w:p w:rsidR="006A4C63" w:rsidRDefault="006A4C63" w:rsidP="006A4C63">
      <w:pPr>
        <w:pStyle w:val="Bezodstpw"/>
        <w:jc w:val="both"/>
      </w:pPr>
      <w:r>
        <w:lastRenderedPageBreak/>
        <w:t>Kontrola poziomu paliwa</w:t>
      </w:r>
    </w:p>
    <w:p w:rsidR="006A4C63" w:rsidRDefault="006A4C63" w:rsidP="006A4C63">
      <w:pPr>
        <w:pStyle w:val="Bezodstpw"/>
        <w:jc w:val="both"/>
      </w:pPr>
      <w:r>
        <w:t>Przycisk awaryjnego zatrzymania</w:t>
      </w:r>
    </w:p>
    <w:p w:rsidR="006A4C63" w:rsidRDefault="006A4C63" w:rsidP="006A4C63">
      <w:pPr>
        <w:pStyle w:val="Bezodstpw"/>
        <w:jc w:val="both"/>
      </w:pPr>
      <w:r>
        <w:t>Automatyczny rozruch - akumulator rozruchowy w komplecie</w:t>
      </w:r>
    </w:p>
    <w:p w:rsidR="006A4C63" w:rsidRDefault="006A4C63" w:rsidP="006A4C63">
      <w:pPr>
        <w:pStyle w:val="Bezodstpw"/>
        <w:jc w:val="both"/>
      </w:pPr>
      <w:r>
        <w:t>Transformatorowa ładowarka akumulatora,</w:t>
      </w:r>
    </w:p>
    <w:p w:rsidR="006A4C63" w:rsidRDefault="006A4C63" w:rsidP="006A4C63">
      <w:pPr>
        <w:pStyle w:val="Bezodstpw"/>
        <w:jc w:val="both"/>
      </w:pPr>
      <w:r>
        <w:t>Minimalna moc silnika 53 kW</w:t>
      </w:r>
    </w:p>
    <w:p w:rsidR="006A4C63" w:rsidRDefault="006A4C63" w:rsidP="006A4C63">
      <w:pPr>
        <w:pStyle w:val="Bezodstpw"/>
        <w:jc w:val="both"/>
      </w:pPr>
      <w:r>
        <w:t>Obroty silnika – 1500 obr/min</w:t>
      </w:r>
    </w:p>
    <w:p w:rsidR="006A4C63" w:rsidRDefault="006A4C63" w:rsidP="006A4C63">
      <w:pPr>
        <w:pStyle w:val="Bezodstpw"/>
        <w:jc w:val="both"/>
      </w:pPr>
      <w:r>
        <w:t>Liczba cylindrów silnika – 4</w:t>
      </w:r>
    </w:p>
    <w:p w:rsidR="006A4C63" w:rsidRDefault="006A4C63" w:rsidP="006A4C63">
      <w:pPr>
        <w:pStyle w:val="Bezodstpw"/>
        <w:jc w:val="both"/>
      </w:pPr>
      <w:r>
        <w:t>Minimalna pojemność skokowa silnika 4,5l</w:t>
      </w:r>
    </w:p>
    <w:p w:rsidR="006A4C63" w:rsidRDefault="006A4C63" w:rsidP="006A4C63">
      <w:pPr>
        <w:pStyle w:val="Bezodstpw"/>
        <w:jc w:val="both"/>
      </w:pPr>
      <w:r>
        <w:t>Bezpośredni wtrysk paliwa</w:t>
      </w:r>
    </w:p>
    <w:p w:rsidR="006A4C63" w:rsidRDefault="006A4C63" w:rsidP="006A4C63">
      <w:pPr>
        <w:pStyle w:val="Bezodstpw"/>
        <w:jc w:val="both"/>
      </w:pPr>
      <w:r>
        <w:t>Paliwo: diesel (EN 590)</w:t>
      </w:r>
    </w:p>
    <w:p w:rsidR="006A4C63" w:rsidRDefault="006A4C63" w:rsidP="006A4C63">
      <w:pPr>
        <w:pStyle w:val="Bezodstpw"/>
        <w:jc w:val="both"/>
      </w:pPr>
      <w:r>
        <w:t>Zbiornik: 250 l z kontrolą poziomu paliwa</w:t>
      </w:r>
    </w:p>
    <w:p w:rsidR="006A4C63" w:rsidRDefault="006A4C63" w:rsidP="006A4C63">
      <w:pPr>
        <w:pStyle w:val="Bezodstpw"/>
        <w:jc w:val="both"/>
      </w:pPr>
      <w:r>
        <w:t>Instalacja silnika 12V</w:t>
      </w:r>
    </w:p>
    <w:p w:rsidR="006A4C63" w:rsidRDefault="006A4C63" w:rsidP="006A4C63">
      <w:pPr>
        <w:pStyle w:val="Bezodstpw"/>
        <w:jc w:val="both"/>
      </w:pPr>
      <w:r>
        <w:t xml:space="preserve">Chłodzenie silnika cieczą </w:t>
      </w:r>
    </w:p>
    <w:p w:rsidR="006A4C63" w:rsidRDefault="006A4C63" w:rsidP="006A4C63">
      <w:pPr>
        <w:pStyle w:val="Bezodstpw"/>
        <w:jc w:val="both"/>
      </w:pPr>
      <w:r>
        <w:t>Grzałka bloku silnika z termostatem</w:t>
      </w:r>
    </w:p>
    <w:p w:rsidR="006A4C63" w:rsidRDefault="006A4C63" w:rsidP="006A4C63">
      <w:pPr>
        <w:pStyle w:val="Bezodstpw"/>
        <w:jc w:val="both"/>
      </w:pPr>
      <w:r>
        <w:t>Pomiar temperatury silnika</w:t>
      </w:r>
    </w:p>
    <w:p w:rsidR="006A4C63" w:rsidRDefault="006A4C63" w:rsidP="006A4C63">
      <w:pPr>
        <w:pStyle w:val="Bezodstpw"/>
        <w:jc w:val="both"/>
      </w:pPr>
      <w:r>
        <w:t>Prądnica bezszczotkowa</w:t>
      </w:r>
    </w:p>
    <w:p w:rsidR="006A4C63" w:rsidRDefault="006A4C63" w:rsidP="006A4C63">
      <w:pPr>
        <w:pStyle w:val="Bezodstpw"/>
        <w:jc w:val="both"/>
      </w:pPr>
      <w:r>
        <w:t>Napięcie znamionowe prądnicy 400V</w:t>
      </w:r>
    </w:p>
    <w:p w:rsidR="006A4C63" w:rsidRDefault="006A4C63" w:rsidP="006A4C63">
      <w:pPr>
        <w:pStyle w:val="Bezodstpw"/>
        <w:jc w:val="both"/>
      </w:pPr>
      <w:r>
        <w:t>Moc znamionowa prądnicy 60,0 [kVA] / 48,0 [kW]</w:t>
      </w:r>
    </w:p>
    <w:p w:rsidR="006A4C63" w:rsidRDefault="006A4C63" w:rsidP="006A4C63">
      <w:pPr>
        <w:pStyle w:val="Bezodstpw"/>
        <w:jc w:val="both"/>
      </w:pPr>
      <w:r>
        <w:t>Konstrukcja prądnicy jednołożyskowa</w:t>
      </w:r>
    </w:p>
    <w:p w:rsidR="006A4C63" w:rsidRDefault="006A4C63" w:rsidP="006A4C63">
      <w:pPr>
        <w:pStyle w:val="Bezodstpw"/>
        <w:jc w:val="both"/>
      </w:pPr>
      <w:r>
        <w:t>Połączenie prądnicy z silnikiem bezpośrednie</w:t>
      </w:r>
    </w:p>
    <w:p w:rsidR="006A4C63" w:rsidRDefault="006A4C63" w:rsidP="006A4C63">
      <w:pPr>
        <w:pStyle w:val="Bezodstpw"/>
        <w:jc w:val="both"/>
      </w:pPr>
      <w:r>
        <w:t>Minimalna sprawność prądnicy 89%</w:t>
      </w:r>
    </w:p>
    <w:p w:rsidR="006A4C63" w:rsidRDefault="006A4C63" w:rsidP="006A4C63">
      <w:pPr>
        <w:pStyle w:val="Bezodstpw"/>
        <w:jc w:val="both"/>
      </w:pPr>
      <w:r>
        <w:t>Sterownik z interfejsem graficznym, pomiar wartości prądu oraz napięcia, dziennik zdarzeń, blokada dostępu, automatyczny start, licznik energii, pomiar mocy, licznik czasu pracy oraz przeglądów.</w:t>
      </w:r>
    </w:p>
    <w:p w:rsidR="006A4C63" w:rsidRDefault="006A4C63" w:rsidP="006A4C63">
      <w:pPr>
        <w:pStyle w:val="Bezodstpw"/>
        <w:jc w:val="both"/>
      </w:pPr>
    </w:p>
    <w:p w:rsidR="008B446D" w:rsidRPr="006B757A" w:rsidRDefault="008B446D" w:rsidP="006A4C63">
      <w:pPr>
        <w:jc w:val="both"/>
      </w:pPr>
    </w:p>
    <w:sectPr w:rsidR="008B446D" w:rsidRPr="006B757A" w:rsidSect="00D550E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43B4F" w:rsidRDefault="00543B4F" w:rsidP="001D3624">
      <w:pPr>
        <w:spacing w:after="0" w:line="240" w:lineRule="auto"/>
      </w:pPr>
      <w:r>
        <w:separator/>
      </w:r>
    </w:p>
  </w:endnote>
  <w:endnote w:type="continuationSeparator" w:id="0">
    <w:p w:rsidR="00543B4F" w:rsidRDefault="00543B4F" w:rsidP="001D36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43B4F" w:rsidRDefault="00543B4F" w:rsidP="001D3624">
      <w:pPr>
        <w:spacing w:after="0" w:line="240" w:lineRule="auto"/>
      </w:pPr>
      <w:r>
        <w:separator/>
      </w:r>
    </w:p>
  </w:footnote>
  <w:footnote w:type="continuationSeparator" w:id="0">
    <w:p w:rsidR="00543B4F" w:rsidRDefault="00543B4F" w:rsidP="001D36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D3624" w:rsidRDefault="001D3624">
    <w:pPr>
      <w:pStyle w:val="Nagwek"/>
    </w:pPr>
    <w:r>
      <w:rPr>
        <w:noProof/>
        <w:lang w:eastAsia="pl-PL"/>
      </w:rPr>
      <w:drawing>
        <wp:inline distT="0" distB="0" distL="0" distR="0" wp14:anchorId="526D3973" wp14:editId="4341D601">
          <wp:extent cx="5760720" cy="5969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_+_CPPC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96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463C0"/>
    <w:multiLevelType w:val="hybridMultilevel"/>
    <w:tmpl w:val="32567BC8"/>
    <w:lvl w:ilvl="0" w:tplc="E4DA0DF0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B51DD"/>
    <w:multiLevelType w:val="hybridMultilevel"/>
    <w:tmpl w:val="59EADB0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B553FF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B64E7F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2623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0985A34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987BF5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B37EDC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B150BC1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95419C"/>
    <w:multiLevelType w:val="hybridMultilevel"/>
    <w:tmpl w:val="8DFEB7EA"/>
    <w:lvl w:ilvl="0" w:tplc="73EEF74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540DB0"/>
    <w:multiLevelType w:val="hybridMultilevel"/>
    <w:tmpl w:val="27DC9BC2"/>
    <w:lvl w:ilvl="0" w:tplc="E4DA0DF0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31DDC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EFF7A9F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5C0252B"/>
    <w:multiLevelType w:val="hybridMultilevel"/>
    <w:tmpl w:val="25023216"/>
    <w:lvl w:ilvl="0" w:tplc="73EEF74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B71A4D"/>
    <w:multiLevelType w:val="hybridMultilevel"/>
    <w:tmpl w:val="7DEEAB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FD542D"/>
    <w:multiLevelType w:val="hybridMultilevel"/>
    <w:tmpl w:val="E2C678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1E3B16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0B33BD5"/>
    <w:multiLevelType w:val="hybridMultilevel"/>
    <w:tmpl w:val="EF00841E"/>
    <w:lvl w:ilvl="0" w:tplc="044E76D2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A4150D"/>
    <w:multiLevelType w:val="hybridMultilevel"/>
    <w:tmpl w:val="6C821E86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00118F"/>
    <w:multiLevelType w:val="hybridMultilevel"/>
    <w:tmpl w:val="E2C678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867BE7"/>
    <w:multiLevelType w:val="hybridMultilevel"/>
    <w:tmpl w:val="5E16E0C6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C655DB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0F61BA8"/>
    <w:multiLevelType w:val="hybridMultilevel"/>
    <w:tmpl w:val="DAEC4A7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EC5668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6F218FE"/>
    <w:multiLevelType w:val="hybridMultilevel"/>
    <w:tmpl w:val="FF086DEA"/>
    <w:lvl w:ilvl="0" w:tplc="E4DA0DF0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D075F9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8F134E2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95D686C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9954F5A"/>
    <w:multiLevelType w:val="hybridMultilevel"/>
    <w:tmpl w:val="F65A7EA4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C14DFB"/>
    <w:multiLevelType w:val="hybridMultilevel"/>
    <w:tmpl w:val="F8E03CDE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EB20152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1400053"/>
    <w:multiLevelType w:val="multilevel"/>
    <w:tmpl w:val="22D6F8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9D2382F"/>
    <w:multiLevelType w:val="multilevel"/>
    <w:tmpl w:val="22D6F8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B8A262B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C790CA9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FB10103"/>
    <w:multiLevelType w:val="hybridMultilevel"/>
    <w:tmpl w:val="51547F2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53098906">
    <w:abstractNumId w:val="32"/>
  </w:num>
  <w:num w:numId="2" w16cid:durableId="125046588">
    <w:abstractNumId w:val="33"/>
  </w:num>
  <w:num w:numId="3" w16cid:durableId="669790953">
    <w:abstractNumId w:val="8"/>
  </w:num>
  <w:num w:numId="4" w16cid:durableId="322205879">
    <w:abstractNumId w:val="26"/>
  </w:num>
  <w:num w:numId="5" w16cid:durableId="643630692">
    <w:abstractNumId w:val="16"/>
  </w:num>
  <w:num w:numId="6" w16cid:durableId="2246045">
    <w:abstractNumId w:val="12"/>
  </w:num>
  <w:num w:numId="7" w16cid:durableId="1098872989">
    <w:abstractNumId w:val="6"/>
  </w:num>
  <w:num w:numId="8" w16cid:durableId="1196384128">
    <w:abstractNumId w:val="1"/>
  </w:num>
  <w:num w:numId="9" w16cid:durableId="1924534272">
    <w:abstractNumId w:val="11"/>
  </w:num>
  <w:num w:numId="10" w16cid:durableId="1084886623">
    <w:abstractNumId w:val="30"/>
  </w:num>
  <w:num w:numId="11" w16cid:durableId="2072730552">
    <w:abstractNumId w:val="25"/>
  </w:num>
  <w:num w:numId="12" w16cid:durableId="1935283408">
    <w:abstractNumId w:val="5"/>
  </w:num>
  <w:num w:numId="13" w16cid:durableId="1962761198">
    <w:abstractNumId w:val="23"/>
  </w:num>
  <w:num w:numId="14" w16cid:durableId="1324413">
    <w:abstractNumId w:val="34"/>
  </w:num>
  <w:num w:numId="15" w16cid:durableId="276107733">
    <w:abstractNumId w:val="21"/>
  </w:num>
  <w:num w:numId="16" w16cid:durableId="1550192411">
    <w:abstractNumId w:val="27"/>
  </w:num>
  <w:num w:numId="17" w16cid:durableId="1909073014">
    <w:abstractNumId w:val="2"/>
  </w:num>
  <w:num w:numId="18" w16cid:durableId="1094471437">
    <w:abstractNumId w:val="29"/>
  </w:num>
  <w:num w:numId="19" w16cid:durableId="702486780">
    <w:abstractNumId w:val="3"/>
  </w:num>
  <w:num w:numId="20" w16cid:durableId="1551041692">
    <w:abstractNumId w:val="35"/>
  </w:num>
  <w:num w:numId="21" w16cid:durableId="1718165724">
    <w:abstractNumId w:val="31"/>
  </w:num>
  <w:num w:numId="22" w16cid:durableId="449860763">
    <w:abstractNumId w:val="4"/>
  </w:num>
  <w:num w:numId="23" w16cid:durableId="2006517316">
    <w:abstractNumId w:val="7"/>
  </w:num>
  <w:num w:numId="24" w16cid:durableId="1339966194">
    <w:abstractNumId w:val="18"/>
  </w:num>
  <w:num w:numId="25" w16cid:durableId="914438842">
    <w:abstractNumId w:val="28"/>
  </w:num>
  <w:num w:numId="26" w16cid:durableId="1393390085">
    <w:abstractNumId w:val="22"/>
  </w:num>
  <w:num w:numId="27" w16cid:durableId="211355781">
    <w:abstractNumId w:val="20"/>
  </w:num>
  <w:num w:numId="28" w16cid:durableId="904755213">
    <w:abstractNumId w:val="17"/>
  </w:num>
  <w:num w:numId="29" w16cid:durableId="68385122">
    <w:abstractNumId w:val="13"/>
  </w:num>
  <w:num w:numId="30" w16cid:durableId="1199467877">
    <w:abstractNumId w:val="9"/>
  </w:num>
  <w:num w:numId="31" w16cid:durableId="1844780117">
    <w:abstractNumId w:val="14"/>
  </w:num>
  <w:num w:numId="32" w16cid:durableId="2012752680">
    <w:abstractNumId w:val="10"/>
  </w:num>
  <w:num w:numId="33" w16cid:durableId="1368020603">
    <w:abstractNumId w:val="0"/>
  </w:num>
  <w:num w:numId="34" w16cid:durableId="1855223427">
    <w:abstractNumId w:val="24"/>
  </w:num>
  <w:num w:numId="35" w16cid:durableId="8265729">
    <w:abstractNumId w:val="15"/>
  </w:num>
  <w:num w:numId="36" w16cid:durableId="997882255">
    <w:abstractNumId w:val="19"/>
  </w:num>
  <w:num w:numId="37" w16cid:durableId="6511813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624"/>
    <w:rsid w:val="0004531C"/>
    <w:rsid w:val="0005672F"/>
    <w:rsid w:val="00060FBF"/>
    <w:rsid w:val="000910BD"/>
    <w:rsid w:val="000C4788"/>
    <w:rsid w:val="001B1182"/>
    <w:rsid w:val="001D3624"/>
    <w:rsid w:val="00224DCA"/>
    <w:rsid w:val="0026216A"/>
    <w:rsid w:val="002B2E8A"/>
    <w:rsid w:val="003911E6"/>
    <w:rsid w:val="003B2744"/>
    <w:rsid w:val="003B3526"/>
    <w:rsid w:val="003D23D7"/>
    <w:rsid w:val="00470A60"/>
    <w:rsid w:val="004731C1"/>
    <w:rsid w:val="004E1391"/>
    <w:rsid w:val="00501716"/>
    <w:rsid w:val="00511566"/>
    <w:rsid w:val="00543B4F"/>
    <w:rsid w:val="006A4C63"/>
    <w:rsid w:val="006B2136"/>
    <w:rsid w:val="006B757A"/>
    <w:rsid w:val="00735F0F"/>
    <w:rsid w:val="00740FCE"/>
    <w:rsid w:val="00786536"/>
    <w:rsid w:val="00786E4C"/>
    <w:rsid w:val="007B026B"/>
    <w:rsid w:val="007B7C04"/>
    <w:rsid w:val="007C0ADB"/>
    <w:rsid w:val="00822225"/>
    <w:rsid w:val="00866C7D"/>
    <w:rsid w:val="008920A6"/>
    <w:rsid w:val="008B446D"/>
    <w:rsid w:val="00993712"/>
    <w:rsid w:val="00AB783D"/>
    <w:rsid w:val="00AD3F53"/>
    <w:rsid w:val="00AE4792"/>
    <w:rsid w:val="00B501B6"/>
    <w:rsid w:val="00B54D7B"/>
    <w:rsid w:val="00B5633E"/>
    <w:rsid w:val="00BD61BB"/>
    <w:rsid w:val="00C366B0"/>
    <w:rsid w:val="00C656A4"/>
    <w:rsid w:val="00CC5266"/>
    <w:rsid w:val="00D07B57"/>
    <w:rsid w:val="00D14ED1"/>
    <w:rsid w:val="00D31B38"/>
    <w:rsid w:val="00D550ED"/>
    <w:rsid w:val="00D7098F"/>
    <w:rsid w:val="00D93B82"/>
    <w:rsid w:val="00DA2679"/>
    <w:rsid w:val="00E20461"/>
    <w:rsid w:val="00E474BE"/>
    <w:rsid w:val="00E477FA"/>
    <w:rsid w:val="00E610A0"/>
    <w:rsid w:val="00EA3FFD"/>
    <w:rsid w:val="00EC1852"/>
    <w:rsid w:val="00F5468E"/>
    <w:rsid w:val="00F953EE"/>
    <w:rsid w:val="00FB2DA1"/>
    <w:rsid w:val="00FB5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60973A9"/>
  <w15:docId w15:val="{A317A8C7-2CA5-4CB0-91E4-8F9E822FB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50E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D36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3624"/>
  </w:style>
  <w:style w:type="paragraph" w:styleId="Stopka">
    <w:name w:val="footer"/>
    <w:basedOn w:val="Normalny"/>
    <w:link w:val="StopkaZnak"/>
    <w:uiPriority w:val="99"/>
    <w:unhideWhenUsed/>
    <w:rsid w:val="001D36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3624"/>
  </w:style>
  <w:style w:type="paragraph" w:styleId="Tekstdymka">
    <w:name w:val="Balloon Text"/>
    <w:basedOn w:val="Normalny"/>
    <w:link w:val="TekstdymkaZnak"/>
    <w:uiPriority w:val="99"/>
    <w:semiHidden/>
    <w:unhideWhenUsed/>
    <w:rsid w:val="001D3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3624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Numerowanie Znak,L1 Znak,Akapit z listą5 Znak,Akapit normalny Znak,Kolorowa lista — akcent 11 Znak,Akapit z listą BS Znak,2 heading Znak,A_wyliczenie Znak,K-P_odwolanie Znak,maz_wyliczenie Znak,opis dzialania Znak,Dot pt Znak,Do Znak"/>
    <w:basedOn w:val="Domylnaczcionkaakapitu"/>
    <w:link w:val="Akapitzlist"/>
    <w:uiPriority w:val="34"/>
    <w:qFormat/>
    <w:locked/>
    <w:rsid w:val="00D550ED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Numerowanie,L1,Akapit z listą5,Akapit normalny,Kolorowa lista — akcent 11,Akapit z listą BS,2 heading,A_wyliczenie,K-P_odwolanie,maz_wyliczenie,opis dzialania,Dot pt,F5 List Paragraph,Recommendation,List Paragraph11,lp1,Do,List Paragraph"/>
    <w:basedOn w:val="Normalny"/>
    <w:link w:val="AkapitzlistZnak"/>
    <w:uiPriority w:val="34"/>
    <w:qFormat/>
    <w:rsid w:val="00D550ED"/>
    <w:pPr>
      <w:ind w:left="720"/>
      <w:contextualSpacing/>
    </w:pPr>
    <w:rPr>
      <w:rFonts w:eastAsia="Times New Roman"/>
      <w:lang w:eastAsia="pl-PL"/>
    </w:rPr>
  </w:style>
  <w:style w:type="paragraph" w:styleId="Bezodstpw">
    <w:name w:val="No Spacing"/>
    <w:uiPriority w:val="1"/>
    <w:qFormat/>
    <w:rsid w:val="00E2046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540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sidorr</dc:creator>
  <cp:lastModifiedBy>walczak</cp:lastModifiedBy>
  <cp:revision>5</cp:revision>
  <cp:lastPrinted>2026-01-19T09:26:00Z</cp:lastPrinted>
  <dcterms:created xsi:type="dcterms:W3CDTF">2026-01-19T09:42:00Z</dcterms:created>
  <dcterms:modified xsi:type="dcterms:W3CDTF">2026-02-06T10:33:00Z</dcterms:modified>
</cp:coreProperties>
</file>